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r>
        <w:t>3GPP TSG RAN3 Meeting#122</w:t>
      </w:r>
      <w:r>
        <w:tab/>
      </w:r>
      <w:r>
        <w:t>R3-23</w:t>
      </w:r>
      <w:r>
        <w:rPr>
          <w:rFonts w:hint="eastAsia"/>
          <w:lang w:val="en-US" w:eastAsia="zh-CN"/>
        </w:rPr>
        <w:t>7346</w:t>
      </w:r>
    </w:p>
    <w:p>
      <w:pPr>
        <w:pStyle w:val="34"/>
        <w:outlineLvl w:val="0"/>
        <w:rPr>
          <w:rFonts w:ascii="Arial" w:hAnsi="Arial" w:eastAsia="宋体" w:cs="Times New Roman"/>
          <w:b/>
          <w:sz w:val="24"/>
          <w:lang w:val="en-GB" w:eastAsia="ja-JP" w:bidi="ar-SA"/>
        </w:rPr>
      </w:pPr>
      <w:r>
        <w:rPr>
          <w:rFonts w:ascii="Arial" w:hAnsi="Arial" w:eastAsia="宋体" w:cs="Times New Roman"/>
          <w:b/>
          <w:sz w:val="24"/>
          <w:lang w:val="en-GB" w:eastAsia="en-GB" w:bidi="ar-SA"/>
        </w:rPr>
        <w:t>Chicago, USA, 13 - 17 November 2023</w:t>
      </w:r>
    </w:p>
    <w:p>
      <w:pPr>
        <w:pStyle w:val="34"/>
        <w:rPr>
          <w:rFonts w:cs="Arial"/>
          <w:bCs/>
          <w:sz w:val="24"/>
          <w:lang w:eastAsia="ja-JP"/>
        </w:rPr>
      </w:pPr>
    </w:p>
    <w:p>
      <w:pPr>
        <w:pStyle w:val="106"/>
        <w:outlineLvl w:val="0"/>
        <w:rPr>
          <w:rFonts w:hint="default" w:eastAsia="宋体"/>
          <w:lang w:val="en-US" w:eastAsia="zh-CN"/>
        </w:rPr>
      </w:pPr>
      <w:r>
        <w:t>Agenda Item:</w:t>
      </w:r>
      <w:r>
        <w:tab/>
      </w:r>
      <w:r>
        <w:rPr>
          <w:rFonts w:hint="eastAsia" w:eastAsia="宋体"/>
          <w:lang w:val="en-US" w:eastAsia="zh-CN"/>
        </w:rPr>
        <w:t>8.1</w:t>
      </w:r>
    </w:p>
    <w:p>
      <w:pPr>
        <w:pStyle w:val="106"/>
        <w:outlineLvl w:val="0"/>
        <w:rPr>
          <w:rFonts w:hint="default" w:eastAsia="宋体"/>
          <w:lang w:val="en-US" w:eastAsia="zh-CN"/>
        </w:rPr>
      </w:pPr>
      <w:r>
        <w:t>Source:</w:t>
      </w:r>
      <w:r>
        <w:tab/>
      </w:r>
      <w:r>
        <w:rPr>
          <w:rFonts w:hint="eastAsia" w:eastAsia="宋体"/>
          <w:lang w:val="en-US" w:eastAsia="zh-CN"/>
        </w:rPr>
        <w:t>ZTE</w:t>
      </w:r>
    </w:p>
    <w:p>
      <w:pPr>
        <w:pStyle w:val="106"/>
        <w:ind w:left="1985" w:hanging="1985"/>
        <w:outlineLvl w:val="0"/>
        <w:rPr>
          <w:rFonts w:hint="default" w:eastAsia="宋体"/>
          <w:lang w:val="en-US" w:eastAsia="zh-CN"/>
        </w:rPr>
      </w:pPr>
      <w:r>
        <w:t>Title:</w:t>
      </w:r>
      <w:r>
        <w:tab/>
      </w:r>
      <w:r>
        <w:rPr>
          <w:rFonts w:hint="eastAsia" w:eastAsia="宋体"/>
          <w:lang w:val="en-US" w:eastAsia="zh-CN"/>
        </w:rPr>
        <w:t>Discussion on the LS from CT4 on finer periodicity</w:t>
      </w:r>
    </w:p>
    <w:p>
      <w:pPr>
        <w:pStyle w:val="106"/>
        <w:outlineLvl w:val="0"/>
        <w:rPr>
          <w:lang w:eastAsia="ja-JP"/>
        </w:rPr>
      </w:pPr>
      <w:r>
        <w:t>Document for:</w:t>
      </w:r>
      <w:r>
        <w:tab/>
      </w:r>
      <w:r>
        <w:t>Discussions</w:t>
      </w:r>
    </w:p>
    <w:p>
      <w:pPr>
        <w:pStyle w:val="2"/>
        <w:numPr>
          <w:ilvl w:val="0"/>
          <w:numId w:val="1"/>
        </w:numPr>
        <w:rPr>
          <w:rFonts w:cs="Arial"/>
        </w:rPr>
      </w:pPr>
      <w:r>
        <w:rPr>
          <w:rFonts w:cs="Arial"/>
        </w:rPr>
        <w:t>Introduction</w:t>
      </w:r>
    </w:p>
    <w:p>
      <w:pPr>
        <w:numPr>
          <w:ilvl w:val="0"/>
          <w:numId w:val="0"/>
        </w:numPr>
        <w:rPr>
          <w:rFonts w:hint="default" w:eastAsia="宋体"/>
          <w:lang w:val="en-US" w:eastAsia="zh-CN"/>
        </w:rPr>
      </w:pPr>
      <w:r>
        <w:rPr>
          <w:rFonts w:hint="eastAsia" w:eastAsia="宋体"/>
          <w:lang w:val="en-US" w:eastAsia="zh-CN"/>
        </w:rPr>
        <w:t>It is stated in the LS[1] that CT4 has agreed CRs from Rel-17 at CT4#115e, which specified support of periodic deferred location reporting with interval less than 1 second. The agreed CRs may have LPP and/or NRPPA impacts.</w:t>
      </w:r>
    </w:p>
    <w:p>
      <w:pPr>
        <w:pStyle w:val="2"/>
        <w:numPr>
          <w:ilvl w:val="0"/>
          <w:numId w:val="1"/>
        </w:numPr>
        <w:ind w:left="1134" w:leftChars="0" w:hanging="1134" w:firstLineChars="0"/>
      </w:pPr>
      <w:r>
        <w:rPr>
          <w:rFonts w:hint="eastAsia" w:eastAsia="宋体"/>
          <w:lang w:val="en-US" w:eastAsia="zh-CN"/>
        </w:rPr>
        <w:t>Discussion</w:t>
      </w:r>
    </w:p>
    <w:p>
      <w:pPr>
        <w:rPr>
          <w:rFonts w:hint="default" w:eastAsia="宋体"/>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-29845</wp:posOffset>
                </wp:positionH>
                <wp:positionV relativeFrom="paragraph">
                  <wp:posOffset>426720</wp:posOffset>
                </wp:positionV>
                <wp:extent cx="1828800" cy="1828800"/>
                <wp:effectExtent l="4445" t="4445" r="14605" b="14605"/>
                <wp:wrapSquare wrapText="bothSides"/>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i/>
                                <w:iCs/>
                                <w:lang w:val="en-US" w:eastAsia="zh-CN"/>
                              </w:rPr>
                            </w:pPr>
                            <w:r>
                              <w:rPr>
                                <w:rFonts w:hint="eastAsia" w:eastAsia="宋体"/>
                                <w:i/>
                                <w:iCs/>
                                <w:lang w:val="en-US" w:eastAsia="zh-CN"/>
                              </w:rPr>
                              <w:t>CT4 has agreed following CRs from Rel-17 at CT4#115e, which specified support of periodic deferred location reporting with interval less than 1 second:</w:t>
                            </w:r>
                          </w:p>
                          <w:p>
                            <w:pPr>
                              <w:ind w:firstLine="284" w:firstLineChars="0"/>
                              <w:rPr>
                                <w:rFonts w:hint="eastAsia" w:eastAsia="宋体"/>
                                <w:i/>
                                <w:iCs/>
                                <w:lang w:val="en-US" w:eastAsia="zh-CN"/>
                              </w:rPr>
                            </w:pPr>
                            <w:r>
                              <w:rPr>
                                <w:rFonts w:hint="eastAsia" w:eastAsia="宋体"/>
                                <w:i/>
                                <w:iCs/>
                                <w:lang w:val="en-US" w:eastAsia="zh-CN"/>
                              </w:rPr>
                              <w:t>-GMLC SBI interface (CR0102 of TS 29.515)</w:t>
                            </w:r>
                          </w:p>
                          <w:p>
                            <w:pPr>
                              <w:ind w:firstLine="284" w:firstLineChars="0"/>
                              <w:rPr>
                                <w:rFonts w:hint="eastAsia" w:eastAsia="宋体"/>
                                <w:i/>
                                <w:iCs/>
                                <w:lang w:val="en-US" w:eastAsia="zh-CN"/>
                              </w:rPr>
                            </w:pPr>
                            <w:r>
                              <w:rPr>
                                <w:rFonts w:hint="eastAsia" w:eastAsia="宋体"/>
                                <w:i/>
                                <w:iCs/>
                                <w:lang w:val="en-US" w:eastAsia="zh-CN"/>
                              </w:rPr>
                              <w:t>-AMF SBI interface (CR0892 of TS 29.518)</w:t>
                            </w:r>
                          </w:p>
                          <w:p>
                            <w:pPr>
                              <w:ind w:firstLine="284" w:firstLineChars="0"/>
                              <w:rPr>
                                <w:rFonts w:hint="eastAsia" w:eastAsia="宋体"/>
                                <w:i/>
                                <w:iCs/>
                                <w:lang w:val="en-US" w:eastAsia="zh-CN"/>
                              </w:rPr>
                            </w:pPr>
                            <w:r>
                              <w:rPr>
                                <w:rFonts w:hint="eastAsia" w:eastAsia="宋体"/>
                                <w:i/>
                                <w:iCs/>
                                <w:lang w:val="en-US" w:eastAsia="zh-CN"/>
                              </w:rPr>
                              <w:t xml:space="preserve">-LMF SBI interface (CR0165 of TS 29.572) </w:t>
                            </w:r>
                          </w:p>
                          <w:p>
                            <w:pPr>
                              <w:rPr>
                                <w:rFonts w:hint="eastAsia" w:eastAsia="宋体"/>
                                <w:i/>
                                <w:iCs/>
                                <w:lang w:val="en-US" w:eastAsia="zh-CN"/>
                              </w:rPr>
                            </w:pPr>
                            <w:r>
                              <w:rPr>
                                <w:rFonts w:hint="eastAsia" w:eastAsia="宋体"/>
                                <w:i/>
                                <w:iCs/>
                                <w:lang w:val="en-US" w:eastAsia="zh-CN"/>
                              </w:rPr>
                              <w:tab/>
                            </w:r>
                            <w:r>
                              <w:rPr>
                                <w:rFonts w:hint="eastAsia" w:eastAsia="宋体"/>
                                <w:i/>
                                <w:iCs/>
                                <w:lang w:val="en-US" w:eastAsia="zh-CN"/>
                              </w:rPr>
                              <w:t>-MAP interface (CR1267 of TS 29.002).</w:t>
                            </w:r>
                          </w:p>
                          <w:p>
                            <w:pPr>
                              <w:rPr>
                                <w:rFonts w:hint="eastAsia" w:eastAsia="宋体"/>
                                <w:i/>
                                <w:iCs/>
                                <w:lang w:val="en-US" w:eastAsia="zh-CN"/>
                              </w:rPr>
                            </w:pPr>
                            <w:r>
                              <w:rPr>
                                <w:rFonts w:hint="eastAsia" w:eastAsia="宋体"/>
                                <w:i/>
                                <w:iCs/>
                                <w:lang w:val="en-US" w:eastAsia="zh-CN"/>
                              </w:rPr>
                              <w:t>The CRs were approved at CT#100 and implemented in 3GPP June 2023 public release. The agreed CRs may have LPP and/or NRPPA impacts.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35pt;margin-top:33.6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bhI27YAAAACQEA&#10;AA8AAAAAAAAAAQAgAAAAIgAAAGRycy9kb3ducmV2LnhtbFBLAQIUABQAAAAIAIdO4kD6CyNwUwIA&#10;ALYEAAAOAAAAAAAAAAEAIAAAACcBAABkcnMvZTJvRG9jLnhtbFBLBQYAAAAABgAGAFkBAADsBQAA&#10;AAA=&#10;">
                <v:fill on="t" focussize="0,0"/>
                <v:stroke weight="0.5pt" color="#000000 [3204]" joinstyle="round"/>
                <v:imagedata o:title=""/>
                <o:lock v:ext="edit" aspectratio="f"/>
                <v:textbox style="mso-fit-shape-to-text:t;">
                  <w:txbxContent>
                    <w:p>
                      <w:pPr>
                        <w:rPr>
                          <w:rFonts w:hint="eastAsia" w:eastAsia="宋体"/>
                          <w:i/>
                          <w:iCs/>
                          <w:lang w:val="en-US" w:eastAsia="zh-CN"/>
                        </w:rPr>
                      </w:pPr>
                      <w:r>
                        <w:rPr>
                          <w:rFonts w:hint="eastAsia" w:eastAsia="宋体"/>
                          <w:i/>
                          <w:iCs/>
                          <w:lang w:val="en-US" w:eastAsia="zh-CN"/>
                        </w:rPr>
                        <w:t>CT4 has agreed following CRs from Rel-17 at CT4#115e, which specified support of periodic deferred location reporting with interval less than 1 second:</w:t>
                      </w:r>
                    </w:p>
                    <w:p>
                      <w:pPr>
                        <w:ind w:firstLine="284" w:firstLineChars="0"/>
                        <w:rPr>
                          <w:rFonts w:hint="eastAsia" w:eastAsia="宋体"/>
                          <w:i/>
                          <w:iCs/>
                          <w:lang w:val="en-US" w:eastAsia="zh-CN"/>
                        </w:rPr>
                      </w:pPr>
                      <w:r>
                        <w:rPr>
                          <w:rFonts w:hint="eastAsia" w:eastAsia="宋体"/>
                          <w:i/>
                          <w:iCs/>
                          <w:lang w:val="en-US" w:eastAsia="zh-CN"/>
                        </w:rPr>
                        <w:t>-GMLC SBI interface (CR0102 of TS 29.515)</w:t>
                      </w:r>
                    </w:p>
                    <w:p>
                      <w:pPr>
                        <w:ind w:firstLine="284" w:firstLineChars="0"/>
                        <w:rPr>
                          <w:rFonts w:hint="eastAsia" w:eastAsia="宋体"/>
                          <w:i/>
                          <w:iCs/>
                          <w:lang w:val="en-US" w:eastAsia="zh-CN"/>
                        </w:rPr>
                      </w:pPr>
                      <w:r>
                        <w:rPr>
                          <w:rFonts w:hint="eastAsia" w:eastAsia="宋体"/>
                          <w:i/>
                          <w:iCs/>
                          <w:lang w:val="en-US" w:eastAsia="zh-CN"/>
                        </w:rPr>
                        <w:t>-AMF SBI interface (CR0892 of TS 29.518)</w:t>
                      </w:r>
                    </w:p>
                    <w:p>
                      <w:pPr>
                        <w:ind w:firstLine="284" w:firstLineChars="0"/>
                        <w:rPr>
                          <w:rFonts w:hint="eastAsia" w:eastAsia="宋体"/>
                          <w:i/>
                          <w:iCs/>
                          <w:lang w:val="en-US" w:eastAsia="zh-CN"/>
                        </w:rPr>
                      </w:pPr>
                      <w:r>
                        <w:rPr>
                          <w:rFonts w:hint="eastAsia" w:eastAsia="宋体"/>
                          <w:i/>
                          <w:iCs/>
                          <w:lang w:val="en-US" w:eastAsia="zh-CN"/>
                        </w:rPr>
                        <w:t xml:space="preserve">-LMF SBI interface (CR0165 of TS 29.572) </w:t>
                      </w:r>
                    </w:p>
                    <w:p>
                      <w:pPr>
                        <w:rPr>
                          <w:rFonts w:hint="eastAsia" w:eastAsia="宋体"/>
                          <w:i/>
                          <w:iCs/>
                          <w:lang w:val="en-US" w:eastAsia="zh-CN"/>
                        </w:rPr>
                      </w:pPr>
                      <w:r>
                        <w:rPr>
                          <w:rFonts w:hint="eastAsia" w:eastAsia="宋体"/>
                          <w:i/>
                          <w:iCs/>
                          <w:lang w:val="en-US" w:eastAsia="zh-CN"/>
                        </w:rPr>
                        <w:tab/>
                      </w:r>
                      <w:r>
                        <w:rPr>
                          <w:rFonts w:hint="eastAsia" w:eastAsia="宋体"/>
                          <w:i/>
                          <w:iCs/>
                          <w:lang w:val="en-US" w:eastAsia="zh-CN"/>
                        </w:rPr>
                        <w:t>-MAP interface (CR1267 of TS 29.002).</w:t>
                      </w:r>
                    </w:p>
                    <w:p>
                      <w:pPr>
                        <w:rPr>
                          <w:rFonts w:hint="eastAsia" w:eastAsia="宋体"/>
                          <w:i/>
                          <w:iCs/>
                          <w:lang w:val="en-US" w:eastAsia="zh-CN"/>
                        </w:rPr>
                      </w:pPr>
                      <w:r>
                        <w:rPr>
                          <w:rFonts w:hint="eastAsia" w:eastAsia="宋体"/>
                          <w:i/>
                          <w:iCs/>
                          <w:lang w:val="en-US" w:eastAsia="zh-CN"/>
                        </w:rPr>
                        <w:t>The CRs were approved at CT#100 and implemented in 3GPP June 2023 public release. The agreed CRs may have LPP and/or NRPPA impacts.</w:t>
                      </w:r>
                    </w:p>
                  </w:txbxContent>
                </v:textbox>
                <w10:wrap type="square"/>
              </v:shape>
            </w:pict>
          </mc:Fallback>
        </mc:AlternateContent>
      </w:r>
      <w:r>
        <w:rPr>
          <w:rFonts w:hint="eastAsia" w:eastAsia="宋体"/>
          <w:lang w:val="en-US" w:eastAsia="zh-CN"/>
        </w:rPr>
        <w:t>Following is the content of the LS from CT4 [1]:</w:t>
      </w:r>
    </w:p>
    <w:p>
      <w:pPr>
        <w:rPr>
          <w:rFonts w:hint="eastAsia" w:eastAsia="宋体"/>
          <w:lang w:val="en-US" w:eastAsia="zh-CN"/>
        </w:rPr>
      </w:pPr>
    </w:p>
    <w:p>
      <w:pPr>
        <w:rPr>
          <w:rFonts w:hint="eastAsia" w:eastAsia="宋体"/>
          <w:lang w:val="en-US" w:eastAsia="zh-CN"/>
        </w:rPr>
      </w:pPr>
      <w:r>
        <w:rPr>
          <w:rFonts w:hint="eastAsia" w:eastAsia="宋体"/>
          <w:lang w:val="en-US" w:eastAsia="zh-CN"/>
        </w:rPr>
        <w:t>Upon checking the agreed CR C4-231275, the yellow-highlighted correction may have RAN3 impacts as follows:</w:t>
      </w:r>
    </w:p>
    <w:p>
      <w:pPr>
        <w:keepNext/>
        <w:keepLines/>
        <w:overflowPunct w:val="0"/>
        <w:autoSpaceDE w:val="0"/>
        <w:autoSpaceDN w:val="0"/>
        <w:adjustRightInd w:val="0"/>
        <w:spacing w:before="120"/>
        <w:ind w:left="1701" w:hanging="1701"/>
        <w:textAlignment w:val="baseline"/>
        <w:outlineLvl w:val="0"/>
        <w:rPr>
          <w:rFonts w:ascii="Arial" w:hAnsi="Arial" w:eastAsia="Times New Roman"/>
          <w:sz w:val="22"/>
          <w:lang w:eastAsia="en-GB"/>
        </w:rPr>
      </w:pPr>
      <w:r>
        <w:rPr>
          <w:rFonts w:ascii="Arial" w:hAnsi="Arial" w:eastAsia="Times New Roman"/>
          <w:sz w:val="22"/>
          <w:lang w:eastAsia="en-GB"/>
        </w:rPr>
        <w:t>6.1.6.2.24</w:t>
      </w:r>
      <w:r>
        <w:rPr>
          <w:rFonts w:ascii="Arial" w:hAnsi="Arial" w:eastAsia="Times New Roman"/>
          <w:sz w:val="22"/>
          <w:lang w:eastAsia="en-GB"/>
        </w:rPr>
        <w:tab/>
      </w:r>
      <w:r>
        <w:rPr>
          <w:rFonts w:ascii="Arial" w:hAnsi="Arial" w:eastAsia="Times New Roman"/>
          <w:sz w:val="22"/>
          <w:lang w:eastAsia="en-GB"/>
        </w:rPr>
        <w:t>Type: PeriodicEventInfo</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6.1.6.2.24-1: Definition of type PeriodicEventInfo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7"/>
        <w:gridCol w:w="2977"/>
        <w:gridCol w:w="425"/>
        <w:gridCol w:w="1096"/>
        <w:gridCol w:w="3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shd w:val="clear" w:color="auto" w:fill="C0C0C0"/>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Attribute name</w:t>
            </w:r>
          </w:p>
        </w:tc>
        <w:tc>
          <w:tcPr>
            <w:tcW w:w="2977" w:type="dxa"/>
            <w:tcBorders>
              <w:top w:val="single" w:color="auto" w:sz="4" w:space="0"/>
              <w:left w:val="single" w:color="auto" w:sz="4" w:space="0"/>
              <w:bottom w:val="single" w:color="auto" w:sz="4" w:space="0"/>
              <w:right w:val="single" w:color="auto" w:sz="4" w:space="0"/>
            </w:tcBorders>
            <w:shd w:val="clear" w:color="auto" w:fill="C0C0C0"/>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w:t>
            </w:r>
          </w:p>
        </w:tc>
        <w:tc>
          <w:tcPr>
            <w:tcW w:w="1096" w:type="dxa"/>
            <w:tcBorders>
              <w:top w:val="single" w:color="auto" w:sz="4" w:space="0"/>
              <w:left w:val="single" w:color="auto" w:sz="4" w:space="0"/>
              <w:bottom w:val="single" w:color="auto" w:sz="4" w:space="0"/>
              <w:right w:val="single" w:color="auto" w:sz="4" w:space="0"/>
            </w:tcBorders>
            <w:shd w:val="clear" w:color="auto" w:fill="C0C0C0"/>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Cardinality</w:t>
            </w:r>
          </w:p>
        </w:tc>
        <w:tc>
          <w:tcPr>
            <w:tcW w:w="3262" w:type="dxa"/>
            <w:tcBorders>
              <w:top w:val="single" w:color="auto" w:sz="4" w:space="0"/>
              <w:left w:val="single" w:color="auto" w:sz="4" w:space="0"/>
              <w:bottom w:val="single" w:color="auto" w:sz="4" w:space="0"/>
              <w:right w:val="single" w:color="auto" w:sz="4" w:space="0"/>
            </w:tcBorders>
            <w:shd w:val="clear" w:color="auto" w:fill="C0C0C0"/>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eastAsia="en-GB"/>
              </w:rPr>
            </w:pPr>
            <w:r>
              <w:rPr>
                <w:rFonts w:ascii="Arial" w:hAnsi="Arial" w:eastAsia="Times New Roman" w:cs="Arial"/>
                <w:b/>
                <w:sz w:val="18"/>
                <w:szCs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reportingAmount</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ReportingAmount</w:t>
            </w:r>
          </w:p>
        </w:tc>
        <w:tc>
          <w:tcPr>
            <w:tcW w:w="4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M</w:t>
            </w:r>
          </w:p>
        </w:tc>
        <w:tc>
          <w:tcPr>
            <w:tcW w:w="10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Number of event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reportingInterval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ReportingInterval</w:t>
            </w:r>
          </w:p>
        </w:tc>
        <w:tc>
          <w:tcPr>
            <w:tcW w:w="4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M</w:t>
            </w:r>
          </w:p>
        </w:tc>
        <w:tc>
          <w:tcPr>
            <w:tcW w:w="10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Interval of event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reportingInfiniteInd</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boolean</w:t>
            </w:r>
          </w:p>
        </w:tc>
        <w:tc>
          <w:tcPr>
            <w:tcW w:w="4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highlight w:val="yellow"/>
                <w:lang w:eastAsia="en-GB"/>
              </w:rPr>
            </w:pPr>
            <w:r>
              <w:rPr>
                <w:rFonts w:ascii="Arial" w:hAnsi="Arial" w:eastAsia="Times New Roman"/>
                <w:sz w:val="18"/>
                <w:highlight w:val="yellow"/>
                <w:lang w:eastAsia="en-GB"/>
              </w:rPr>
              <w:t>O</w:t>
            </w:r>
          </w:p>
        </w:tc>
        <w:tc>
          <w:tcPr>
            <w:tcW w:w="10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0..1</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When present, this IE shall be set to the value true, indicating that as many reports as possible to be generated during allowed duration (8639999 seconds).</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When this IE is present in a response, it indicates that this IE is supported and accepted by the LMF.</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reportingIntervalMs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ReportingIntervalMs</w:t>
            </w:r>
          </w:p>
        </w:tc>
        <w:tc>
          <w:tcPr>
            <w:tcW w:w="4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highlight w:val="yellow"/>
                <w:lang w:eastAsia="en-GB"/>
              </w:rPr>
            </w:pPr>
            <w:r>
              <w:rPr>
                <w:rFonts w:ascii="Arial" w:hAnsi="Arial" w:eastAsia="Times New Roman"/>
                <w:sz w:val="18"/>
                <w:highlight w:val="yellow"/>
                <w:lang w:eastAsia="en-GB"/>
              </w:rPr>
              <w:t>O</w:t>
            </w:r>
          </w:p>
        </w:tc>
        <w:tc>
          <w:tcPr>
            <w:tcW w:w="10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0..1</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 xml:space="preserve">When present, this IE shall indicate the Interval of event reports in milliseconds. </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 xml:space="preserve">When this IE is present in a request, the </w:t>
            </w:r>
            <w:r>
              <w:rPr>
                <w:rFonts w:ascii="Arial" w:hAnsi="Arial" w:eastAsia="Times New Roman"/>
                <w:sz w:val="18"/>
                <w:highlight w:val="yellow"/>
                <w:lang w:eastAsia="en-GB"/>
              </w:rPr>
              <w:t>reportingInterval is set ot 1 for backward compatible consideration</w:t>
            </w:r>
            <w:r>
              <w:rPr>
                <w:rFonts w:ascii="Arial" w:hAnsi="Arial" w:eastAsia="Times New Roman" w:cs="Arial"/>
                <w:sz w:val="18"/>
                <w:szCs w:val="18"/>
                <w:highlight w:val="yellow"/>
                <w:lang w:eastAsia="en-GB"/>
              </w:rPr>
              <w:t xml:space="preserve">. An LMF supporting this IE shall ignore the </w:t>
            </w:r>
            <w:r>
              <w:rPr>
                <w:rFonts w:ascii="Arial" w:hAnsi="Arial" w:eastAsia="Times New Roman"/>
                <w:sz w:val="18"/>
                <w:highlight w:val="yellow"/>
                <w:lang w:eastAsia="en-GB"/>
              </w:rPr>
              <w:t xml:space="preserve">reportingInterval </w:t>
            </w:r>
            <w:r>
              <w:rPr>
                <w:rFonts w:ascii="Arial" w:hAnsi="Arial" w:eastAsia="Times New Roman" w:cs="Arial"/>
                <w:sz w:val="18"/>
                <w:szCs w:val="18"/>
                <w:highlight w:val="yellow"/>
                <w:lang w:eastAsia="en-GB"/>
              </w:rPr>
              <w:t xml:space="preserve">IE; an LMF not supporting this IE will use </w:t>
            </w:r>
            <w:r>
              <w:rPr>
                <w:rFonts w:ascii="Arial" w:hAnsi="Arial" w:eastAsia="Times New Roman"/>
                <w:sz w:val="18"/>
                <w:highlight w:val="yellow"/>
                <w:lang w:eastAsia="en-GB"/>
              </w:rPr>
              <w:t xml:space="preserve">reportingInterval </w:t>
            </w:r>
            <w:r>
              <w:rPr>
                <w:rFonts w:ascii="Arial" w:hAnsi="Arial" w:eastAsia="Times New Roman" w:cs="Arial"/>
                <w:sz w:val="18"/>
                <w:szCs w:val="18"/>
                <w:highlight w:val="yellow"/>
                <w:lang w:eastAsia="en-GB"/>
              </w:rPr>
              <w:t>IE to generate report with minimal interval as legacy, i.e. 1 second.</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r>
              <w:rPr>
                <w:rFonts w:ascii="Arial" w:hAnsi="Arial" w:eastAsia="Times New Roman" w:cs="Arial"/>
                <w:sz w:val="18"/>
                <w:szCs w:val="18"/>
                <w:highlight w:val="yellow"/>
                <w:lang w:eastAsia="en-GB"/>
              </w:rPr>
              <w:t>When this IE is present in a response, it indicates that this IE is supported by the LMF and it shall indicate the value accepted by the LMF.</w:t>
            </w:r>
          </w:p>
          <w:p>
            <w:pPr>
              <w:keepNext/>
              <w:keepLines/>
              <w:overflowPunct w:val="0"/>
              <w:autoSpaceDE w:val="0"/>
              <w:autoSpaceDN w:val="0"/>
              <w:adjustRightInd w:val="0"/>
              <w:spacing w:after="0"/>
              <w:textAlignment w:val="baseline"/>
              <w:rPr>
                <w:rFonts w:ascii="Arial" w:hAnsi="Arial" w:eastAsia="Times New Roman" w:cs="Arial"/>
                <w:sz w:val="18"/>
                <w:szCs w:val="18"/>
                <w:highlight w:val="yellow"/>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67"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NOTE: reportingAmount x reportingInterval shall not exceed 8639999 (99 days, 23 hours, 59 minutes and 59 seconds) for compatibility with OMA MLP and RLP.</w:t>
            </w:r>
          </w:p>
        </w:tc>
      </w:tr>
    </w:tbl>
    <w:p>
      <w:pPr>
        <w:rPr>
          <w:rFonts w:hint="default" w:eastAsia="宋体"/>
          <w:lang w:val="en-US" w:eastAsia="zh-CN"/>
        </w:rPr>
      </w:pPr>
    </w:p>
    <w:p>
      <w:pPr>
        <w:rPr>
          <w:rFonts w:hint="eastAsia" w:eastAsia="宋体"/>
          <w:lang w:val="en-US" w:eastAsia="zh-CN"/>
        </w:rPr>
      </w:pPr>
      <w:r>
        <w:rPr>
          <w:rFonts w:hint="eastAsia" w:eastAsia="宋体"/>
          <w:lang w:val="en-US" w:eastAsia="zh-CN"/>
        </w:rPr>
        <w:t xml:space="preserve">Reviewing </w:t>
      </w:r>
      <w:r>
        <w:rPr>
          <w:rFonts w:hint="eastAsia" w:eastAsia="宋体"/>
          <w:i/>
          <w:iCs/>
          <w:lang w:val="en-US" w:eastAsia="zh-CN"/>
        </w:rPr>
        <w:t>UE Reporting Information</w:t>
      </w:r>
      <w:r>
        <w:rPr>
          <w:rFonts w:hint="eastAsia" w:eastAsia="宋体"/>
          <w:lang w:val="en-US" w:eastAsia="zh-CN"/>
        </w:rPr>
        <w:t xml:space="preserve"> IE in the current NRPPa/F1AP specification, the indication of infinite reporting is supported. </w:t>
      </w:r>
      <w:r>
        <w:t>Value 0</w:t>
      </w:r>
      <w:r>
        <w:rPr>
          <w:rFonts w:hint="eastAsia" w:eastAsia="宋体"/>
          <w:lang w:val="en-US" w:eastAsia="zh-CN"/>
        </w:rPr>
        <w:t xml:space="preserve"> in the </w:t>
      </w:r>
      <w:r>
        <w:rPr>
          <w:rFonts w:hint="eastAsia" w:eastAsia="宋体"/>
          <w:i/>
          <w:iCs/>
          <w:lang w:val="en-US" w:eastAsia="zh-CN"/>
        </w:rPr>
        <w:t>Reporting Amount</w:t>
      </w:r>
      <w:r>
        <w:rPr>
          <w:rFonts w:hint="eastAsia" w:eastAsia="宋体"/>
          <w:lang w:val="en-US" w:eastAsia="zh-CN"/>
        </w:rPr>
        <w:t xml:space="preserve"> IE</w:t>
      </w:r>
      <w:r>
        <w:t xml:space="preserve"> represents an infinite number of periodic reportin</w:t>
      </w:r>
      <w:r>
        <w:rPr>
          <w:rFonts w:hint="eastAsia" w:eastAsia="宋体"/>
          <w:lang w:val="en-US" w:eastAsia="zh-CN"/>
        </w:rPr>
        <w:t xml:space="preserve">g. However, the reporting interval per millisecond is not supported. Therefore, it is proposed to introduce the reporting interval per millisecond IE in the </w:t>
      </w:r>
      <w:r>
        <w:rPr>
          <w:rFonts w:hint="eastAsia" w:eastAsia="宋体"/>
          <w:i/>
          <w:iCs/>
          <w:lang w:val="en-US" w:eastAsia="zh-CN"/>
        </w:rPr>
        <w:t>UE Reporting Information</w:t>
      </w:r>
      <w:r>
        <w:rPr>
          <w:rFonts w:hint="eastAsia" w:eastAsia="宋体"/>
          <w:lang w:val="en-US" w:eastAsia="zh-CN"/>
        </w:rPr>
        <w:t xml:space="preserve"> IE to align with the agreement in CT4.</w:t>
      </w:r>
    </w:p>
    <w:p>
      <w:pPr>
        <w:numPr>
          <w:ilvl w:val="0"/>
          <w:numId w:val="2"/>
        </w:numPr>
        <w:ind w:left="425" w:leftChars="0" w:hanging="425" w:firstLineChars="0"/>
        <w:rPr>
          <w:rFonts w:hint="default" w:eastAsia="宋体"/>
          <w:b/>
          <w:bCs/>
          <w:lang w:val="en-US" w:eastAsia="zh-CN"/>
        </w:rPr>
      </w:pPr>
      <w:r>
        <w:rPr>
          <w:rFonts w:hint="eastAsia" w:eastAsia="宋体"/>
          <w:b/>
          <w:bCs/>
          <w:lang w:val="en-US" w:eastAsia="zh-CN"/>
        </w:rPr>
        <w:t xml:space="preserve">To NRPPa &amp; F1AP spec, introduce the </w:t>
      </w:r>
      <w:r>
        <w:rPr>
          <w:rFonts w:hint="eastAsia" w:eastAsia="宋体"/>
          <w:b/>
          <w:bCs/>
          <w:i/>
          <w:iCs/>
          <w:lang w:val="en-US" w:eastAsia="zh-CN"/>
        </w:rPr>
        <w:t>ReportingIntervalIMs</w:t>
      </w:r>
      <w:r>
        <w:rPr>
          <w:rFonts w:hint="eastAsia" w:eastAsia="宋体"/>
          <w:b/>
          <w:bCs/>
          <w:lang w:val="en-US" w:eastAsia="zh-CN"/>
        </w:rPr>
        <w:t xml:space="preserve"> IE in the </w:t>
      </w:r>
      <w:r>
        <w:rPr>
          <w:rFonts w:hint="eastAsia" w:eastAsia="宋体"/>
          <w:b/>
          <w:bCs/>
          <w:i/>
          <w:iCs/>
          <w:lang w:val="en-US" w:eastAsia="zh-CN"/>
        </w:rPr>
        <w:t>UE Reporting Information</w:t>
      </w:r>
      <w:r>
        <w:rPr>
          <w:rFonts w:hint="eastAsia" w:eastAsia="宋体"/>
          <w:b/>
          <w:bCs/>
          <w:lang w:val="en-US" w:eastAsia="zh-CN"/>
        </w:rPr>
        <w:t xml:space="preserve"> IE, as INTEGER(1...999).</w:t>
      </w:r>
    </w:p>
    <w:p>
      <w:pPr>
        <w:rPr>
          <w:rFonts w:hint="default" w:eastAsia="宋体"/>
          <w:lang w:val="en-US" w:eastAsia="zh-CN"/>
        </w:rPr>
      </w:pPr>
      <w:r>
        <w:rPr>
          <w:rFonts w:hint="eastAsia" w:eastAsia="宋体"/>
          <w:lang w:val="en-US" w:eastAsia="zh-CN"/>
        </w:rPr>
        <w:t>The corresponding CR to NRPPa and F1AP are provided in R3-237347[3] and R3-237348[4].</w:t>
      </w:r>
    </w:p>
    <w:p>
      <w:pPr>
        <w:pStyle w:val="2"/>
        <w:numPr>
          <w:ilvl w:val="0"/>
          <w:numId w:val="0"/>
        </w:numPr>
        <w:ind w:leftChars="0"/>
      </w:pPr>
      <w:r>
        <w:rPr>
          <w:rFonts w:hint="eastAsia" w:eastAsia="宋体"/>
          <w:lang w:val="en-US" w:eastAsia="zh-CN"/>
        </w:rPr>
        <w:t>Reference</w:t>
      </w:r>
    </w:p>
    <w:p>
      <w:pPr>
        <w:numPr>
          <w:ilvl w:val="0"/>
          <w:numId w:val="3"/>
        </w:numPr>
        <w:spacing w:after="180"/>
        <w:rPr>
          <w:rFonts w:hint="eastAsia" w:eastAsia="宋体"/>
          <w:lang w:val="en-US" w:eastAsia="zh-CN"/>
        </w:rPr>
      </w:pPr>
      <w:r>
        <w:rPr>
          <w:rFonts w:hint="eastAsia" w:eastAsia="宋体"/>
          <w:lang w:val="en-US" w:eastAsia="zh-CN"/>
        </w:rPr>
        <w:t>R3-237135, LS Out Sub One Second Report Period for Deferred Location over SBI, CT4</w:t>
      </w:r>
    </w:p>
    <w:p>
      <w:pPr>
        <w:numPr>
          <w:ilvl w:val="0"/>
          <w:numId w:val="3"/>
        </w:numPr>
        <w:spacing w:after="180"/>
        <w:rPr>
          <w:rFonts w:hint="default" w:eastAsia="宋体"/>
          <w:lang w:val="en-US" w:eastAsia="zh-CN"/>
        </w:rPr>
      </w:pPr>
      <w:r>
        <w:rPr>
          <w:rFonts w:hint="eastAsia"/>
        </w:rPr>
        <w:t>C4-231275</w:t>
      </w:r>
      <w:r>
        <w:rPr>
          <w:rFonts w:hint="eastAsia" w:eastAsia="宋体"/>
          <w:lang w:val="en-US" w:eastAsia="zh-CN"/>
        </w:rPr>
        <w:t xml:space="preserve">, </w:t>
      </w:r>
      <w:r>
        <w:t>Missing finer periodicities than 1s and an infinite reporting amount</w:t>
      </w:r>
      <w:r>
        <w:rPr>
          <w:rFonts w:hint="eastAsia" w:eastAsia="宋体"/>
          <w:lang w:val="en-US" w:eastAsia="zh-CN"/>
        </w:rPr>
        <w:t>, Ericsson</w:t>
      </w:r>
    </w:p>
    <w:p>
      <w:pPr>
        <w:numPr>
          <w:ilvl w:val="0"/>
          <w:numId w:val="3"/>
        </w:numPr>
        <w:spacing w:after="180"/>
        <w:rPr>
          <w:rFonts w:hint="default" w:eastAsia="宋体"/>
          <w:lang w:val="en-US" w:eastAsia="zh-CN"/>
        </w:rPr>
      </w:pPr>
      <w:r>
        <w:rPr>
          <w:rFonts w:hint="eastAsia" w:eastAsia="宋体"/>
          <w:lang w:val="en-US" w:eastAsia="zh-CN"/>
        </w:rPr>
        <w:t>R3-237347, CR to NRPPa on missing finer periodicity, ZTE</w:t>
      </w:r>
    </w:p>
    <w:p>
      <w:pPr>
        <w:numPr>
          <w:ilvl w:val="0"/>
          <w:numId w:val="3"/>
        </w:numPr>
        <w:spacing w:after="180"/>
      </w:pPr>
      <w:r>
        <w:rPr>
          <w:rFonts w:hint="eastAsia" w:eastAsia="宋体"/>
          <w:lang w:val="en-US" w:eastAsia="zh-CN"/>
        </w:rPr>
        <w:t>R3-237348</w:t>
      </w:r>
      <w:bookmarkStart w:id="0" w:name="_GoBack"/>
      <w:bookmarkEnd w:id="0"/>
      <w:r>
        <w:rPr>
          <w:rFonts w:hint="eastAsia" w:eastAsia="宋体"/>
          <w:lang w:val="en-US" w:eastAsia="zh-CN"/>
        </w:rPr>
        <w:t>, CR to F1AP on missing finer periodicity, ZTE</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DA8E8"/>
    <w:multiLevelType w:val="singleLevel"/>
    <w:tmpl w:val="84FDA8E8"/>
    <w:lvl w:ilvl="0" w:tentative="0">
      <w:start w:val="1"/>
      <w:numFmt w:val="decimal"/>
      <w:lvlText w:val="%1"/>
      <w:lvlJc w:val="left"/>
    </w:lvl>
  </w:abstractNum>
  <w:abstractNum w:abstractNumId="1">
    <w:nsid w:val="CFC244FF"/>
    <w:multiLevelType w:val="singleLevel"/>
    <w:tmpl w:val="CFC244FF"/>
    <w:lvl w:ilvl="0" w:tentative="0">
      <w:start w:val="1"/>
      <w:numFmt w:val="decimal"/>
      <w:lvlText w:val="Proposal %1:"/>
      <w:lvlJc w:val="left"/>
      <w:pPr>
        <w:tabs>
          <w:tab w:val="left" w:pos="420"/>
        </w:tabs>
        <w:ind w:left="425" w:leftChars="0" w:hanging="425" w:firstLineChars="0"/>
      </w:pPr>
      <w:rPr>
        <w:rFonts w:hint="default"/>
        <w:b/>
      </w:rPr>
    </w:lvl>
  </w:abstractNum>
  <w:abstractNum w:abstractNumId="2">
    <w:nsid w:val="EEC91129"/>
    <w:multiLevelType w:val="singleLevel"/>
    <w:tmpl w:val="EEC91129"/>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A6B46"/>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0F6A"/>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5308"/>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1315D3"/>
    <w:rsid w:val="023A69FE"/>
    <w:rsid w:val="02B6410D"/>
    <w:rsid w:val="03323D2E"/>
    <w:rsid w:val="06784542"/>
    <w:rsid w:val="06BB2FEF"/>
    <w:rsid w:val="07D279FA"/>
    <w:rsid w:val="089F3D94"/>
    <w:rsid w:val="08A968B5"/>
    <w:rsid w:val="0DA23F6F"/>
    <w:rsid w:val="0DE3658E"/>
    <w:rsid w:val="0E203996"/>
    <w:rsid w:val="0ECA6B46"/>
    <w:rsid w:val="11400BCE"/>
    <w:rsid w:val="125247A0"/>
    <w:rsid w:val="13C610EE"/>
    <w:rsid w:val="146A6089"/>
    <w:rsid w:val="15A679E3"/>
    <w:rsid w:val="16CE0C48"/>
    <w:rsid w:val="18F52920"/>
    <w:rsid w:val="1A686AEB"/>
    <w:rsid w:val="1AA27841"/>
    <w:rsid w:val="1B373F19"/>
    <w:rsid w:val="1C54591A"/>
    <w:rsid w:val="1C5840DE"/>
    <w:rsid w:val="1F0D588E"/>
    <w:rsid w:val="208C0918"/>
    <w:rsid w:val="20D45B00"/>
    <w:rsid w:val="231B252F"/>
    <w:rsid w:val="23266CD4"/>
    <w:rsid w:val="24687940"/>
    <w:rsid w:val="249C59F5"/>
    <w:rsid w:val="260A58E0"/>
    <w:rsid w:val="26903582"/>
    <w:rsid w:val="2846169B"/>
    <w:rsid w:val="28E7229B"/>
    <w:rsid w:val="2A6342B7"/>
    <w:rsid w:val="2A736545"/>
    <w:rsid w:val="2A93180B"/>
    <w:rsid w:val="2BE81AD8"/>
    <w:rsid w:val="2BE95063"/>
    <w:rsid w:val="2CCA37A6"/>
    <w:rsid w:val="2DCA4A86"/>
    <w:rsid w:val="2E363F88"/>
    <w:rsid w:val="2F4C1C4C"/>
    <w:rsid w:val="2F9E3371"/>
    <w:rsid w:val="32465556"/>
    <w:rsid w:val="32BD2732"/>
    <w:rsid w:val="34251437"/>
    <w:rsid w:val="35A71861"/>
    <w:rsid w:val="36ED1EA4"/>
    <w:rsid w:val="377242E3"/>
    <w:rsid w:val="383E283C"/>
    <w:rsid w:val="39E435BB"/>
    <w:rsid w:val="3A0E0AE2"/>
    <w:rsid w:val="3A570FD7"/>
    <w:rsid w:val="3A9100D1"/>
    <w:rsid w:val="3AAB3E5F"/>
    <w:rsid w:val="3B9763DF"/>
    <w:rsid w:val="3BCE4059"/>
    <w:rsid w:val="3BE8011B"/>
    <w:rsid w:val="3C067406"/>
    <w:rsid w:val="41512FC3"/>
    <w:rsid w:val="415F52B1"/>
    <w:rsid w:val="42750E5A"/>
    <w:rsid w:val="430529EE"/>
    <w:rsid w:val="431110DC"/>
    <w:rsid w:val="43BC4B12"/>
    <w:rsid w:val="44CD47BA"/>
    <w:rsid w:val="44D65439"/>
    <w:rsid w:val="45FE1E83"/>
    <w:rsid w:val="46A75537"/>
    <w:rsid w:val="46BD245B"/>
    <w:rsid w:val="493909B4"/>
    <w:rsid w:val="4ADD66D7"/>
    <w:rsid w:val="4B0C33D9"/>
    <w:rsid w:val="4C1D40FF"/>
    <w:rsid w:val="4C33342F"/>
    <w:rsid w:val="4D5B7A03"/>
    <w:rsid w:val="4E6673CA"/>
    <w:rsid w:val="4ED6353F"/>
    <w:rsid w:val="4F5A5C96"/>
    <w:rsid w:val="51465B60"/>
    <w:rsid w:val="5202303C"/>
    <w:rsid w:val="522545D1"/>
    <w:rsid w:val="525078A6"/>
    <w:rsid w:val="55F416F4"/>
    <w:rsid w:val="56433BC2"/>
    <w:rsid w:val="56585D84"/>
    <w:rsid w:val="57110E6A"/>
    <w:rsid w:val="57A84C53"/>
    <w:rsid w:val="58A52F05"/>
    <w:rsid w:val="58C43853"/>
    <w:rsid w:val="5A257844"/>
    <w:rsid w:val="5C7C03B6"/>
    <w:rsid w:val="5FD86567"/>
    <w:rsid w:val="60FD01C9"/>
    <w:rsid w:val="614556EE"/>
    <w:rsid w:val="61D02F50"/>
    <w:rsid w:val="659F0E89"/>
    <w:rsid w:val="66632FC3"/>
    <w:rsid w:val="67031075"/>
    <w:rsid w:val="673164FC"/>
    <w:rsid w:val="67764C76"/>
    <w:rsid w:val="6B1370EC"/>
    <w:rsid w:val="6D2924B2"/>
    <w:rsid w:val="6E2D1F5F"/>
    <w:rsid w:val="6ED75AC0"/>
    <w:rsid w:val="6F650713"/>
    <w:rsid w:val="7066337A"/>
    <w:rsid w:val="71CA113D"/>
    <w:rsid w:val="744E69BC"/>
    <w:rsid w:val="75DB20F4"/>
    <w:rsid w:val="763E0676"/>
    <w:rsid w:val="776E3AA8"/>
    <w:rsid w:val="7918367D"/>
    <w:rsid w:val="7A7E1623"/>
    <w:rsid w:val="7B9A5C69"/>
    <w:rsid w:val="7C0665D3"/>
    <w:rsid w:val="7C7B6C76"/>
    <w:rsid w:val="7C973D80"/>
    <w:rsid w:val="7D742856"/>
    <w:rsid w:val="7DBA2054"/>
    <w:rsid w:val="7DD95259"/>
    <w:rsid w:val="7F1E2E16"/>
    <w:rsid w:val="7F6E02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2"/>
    <w:qFormat/>
    <w:uiPriority w:val="0"/>
    <w:pPr>
      <w:shd w:val="clear" w:color="auto" w:fill="000080"/>
    </w:pPr>
    <w:rPr>
      <w:rFonts w:ascii="Tahoma" w:hAnsi="Tahoma" w:cs="Tahoma"/>
    </w:rPr>
  </w:style>
  <w:style w:type="paragraph" w:styleId="29">
    <w:name w:val="annotation text"/>
    <w:basedOn w:val="1"/>
    <w:link w:val="53"/>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8"/>
    <w:qFormat/>
    <w:uiPriority w:val="0"/>
    <w:rPr>
      <w:rFonts w:ascii="Tahoma" w:hAnsi="Tahoma" w:cs="Tahoma"/>
      <w:sz w:val="16"/>
      <w:szCs w:val="16"/>
    </w:rPr>
  </w:style>
  <w:style w:type="paragraph" w:styleId="33">
    <w:name w:val="footer"/>
    <w:basedOn w:val="34"/>
    <w:link w:val="55"/>
    <w:qFormat/>
    <w:uiPriority w:val="0"/>
    <w:pPr>
      <w:jc w:val="center"/>
    </w:pPr>
    <w:rPr>
      <w:i/>
    </w:rPr>
  </w:style>
  <w:style w:type="paragraph" w:styleId="34">
    <w:name w:val="header"/>
    <w:link w:val="5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批注框文本 字符"/>
    <w:link w:val="32"/>
    <w:qFormat/>
    <w:uiPriority w:val="0"/>
    <w:rPr>
      <w:rFonts w:ascii="Tahoma" w:hAnsi="Tahoma" w:cs="Tahoma"/>
      <w:sz w:val="16"/>
      <w:szCs w:val="16"/>
      <w:lang w:val="en-GB"/>
    </w:rPr>
  </w:style>
  <w:style w:type="character" w:customStyle="1" w:styleId="49">
    <w:name w:val="标题 3 字符"/>
    <w:link w:val="4"/>
    <w:qFormat/>
    <w:uiPriority w:val="0"/>
    <w:rPr>
      <w:rFonts w:ascii="Arial" w:hAnsi="Arial"/>
      <w:sz w:val="28"/>
      <w:lang w:val="en-GB"/>
    </w:rPr>
  </w:style>
  <w:style w:type="character" w:customStyle="1" w:styleId="50">
    <w:name w:val="标题 4 字符"/>
    <w:link w:val="5"/>
    <w:qFormat/>
    <w:uiPriority w:val="0"/>
    <w:rPr>
      <w:rFonts w:ascii="Arial" w:hAnsi="Arial"/>
      <w:sz w:val="24"/>
      <w:lang w:val="en-GB"/>
    </w:rPr>
  </w:style>
  <w:style w:type="character" w:customStyle="1" w:styleId="51">
    <w:name w:val="标题 6 字符"/>
    <w:link w:val="7"/>
    <w:qFormat/>
    <w:uiPriority w:val="0"/>
    <w:rPr>
      <w:rFonts w:ascii="Arial" w:hAnsi="Arial"/>
      <w:lang w:val="en-GB"/>
    </w:rPr>
  </w:style>
  <w:style w:type="character" w:customStyle="1" w:styleId="52">
    <w:name w:val="文档结构图 字符"/>
    <w:link w:val="28"/>
    <w:qFormat/>
    <w:uiPriority w:val="0"/>
    <w:rPr>
      <w:rFonts w:ascii="Tahoma" w:hAnsi="Tahoma" w:cs="Tahoma"/>
      <w:shd w:val="clear" w:color="auto" w:fill="000080"/>
      <w:lang w:val="en-GB"/>
    </w:rPr>
  </w:style>
  <w:style w:type="character" w:customStyle="1" w:styleId="53">
    <w:name w:val="批注文字 字符"/>
    <w:link w:val="29"/>
    <w:qFormat/>
    <w:uiPriority w:val="0"/>
    <w:rPr>
      <w:rFonts w:ascii="Times New Roman" w:hAnsi="Times New Roman"/>
      <w:lang w:val="en-GB"/>
    </w:rPr>
  </w:style>
  <w:style w:type="character" w:customStyle="1" w:styleId="54">
    <w:name w:val="页眉 字符"/>
    <w:link w:val="34"/>
    <w:qFormat/>
    <w:uiPriority w:val="0"/>
    <w:rPr>
      <w:rFonts w:ascii="Arial" w:hAnsi="Arial"/>
      <w:b/>
      <w:sz w:val="18"/>
      <w:lang w:eastAsia="en-US"/>
    </w:rPr>
  </w:style>
  <w:style w:type="character" w:customStyle="1" w:styleId="55">
    <w:name w:val="页脚 字符"/>
    <w:link w:val="33"/>
    <w:qFormat/>
    <w:uiPriority w:val="0"/>
    <w:rPr>
      <w:rFonts w:ascii="Arial" w:hAnsi="Arial"/>
      <w:b/>
      <w:i/>
      <w:sz w:val="18"/>
      <w:lang w:val="en-GB"/>
    </w:rPr>
  </w:style>
  <w:style w:type="character" w:customStyle="1" w:styleId="56">
    <w:name w:val="脚注文本 字符"/>
    <w:link w:val="35"/>
    <w:qFormat/>
    <w:uiPriority w:val="0"/>
    <w:rPr>
      <w:rFonts w:ascii="Times New Roman" w:hAnsi="Times New Roman"/>
      <w:sz w:val="16"/>
      <w:lang w:val="en-GB"/>
    </w:rPr>
  </w:style>
  <w:style w:type="character" w:customStyle="1" w:styleId="57">
    <w:name w:val="批注主题 字符"/>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qFormat/>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qFormat/>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qFormat/>
    <w:uiPriority w:val="0"/>
    <w:pPr>
      <w:spacing w:after="0"/>
    </w:pPr>
  </w:style>
  <w:style w:type="paragraph" w:customStyle="1" w:styleId="78">
    <w:name w:val="EW"/>
    <w:basedOn w:val="73"/>
    <w:qFormat/>
    <w:uiPriority w:val="0"/>
    <w:pPr>
      <w:spacing w:after="0"/>
    </w:pPr>
  </w:style>
  <w:style w:type="paragraph" w:customStyle="1" w:styleId="79">
    <w:name w:val="EQ"/>
    <w:basedOn w:val="1"/>
    <w:next w:val="1"/>
    <w:uiPriority w:val="0"/>
    <w:pPr>
      <w:keepLines/>
      <w:tabs>
        <w:tab w:val="center" w:pos="4536"/>
        <w:tab w:val="right" w:pos="9072"/>
      </w:tabs>
    </w:pPr>
  </w:style>
  <w:style w:type="paragraph" w:customStyle="1" w:styleId="80">
    <w:name w:val="NF"/>
    <w:basedOn w:val="71"/>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uiPriority w:val="0"/>
    <w:pPr>
      <w:jc w:val="right"/>
    </w:pPr>
  </w:style>
  <w:style w:type="paragraph" w:customStyle="1" w:styleId="84">
    <w:name w:val="TAN"/>
    <w:basedOn w:val="63"/>
    <w:uiPriority w:val="0"/>
    <w:pPr>
      <w:ind w:left="851" w:hanging="851"/>
    </w:pPr>
  </w:style>
  <w:style w:type="paragraph" w:customStyle="1" w:styleId="8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uiPriority w:val="0"/>
    <w:pPr>
      <w:framePr w:y="16161"/>
    </w:pPr>
  </w:style>
  <w:style w:type="character" w:customStyle="1" w:styleId="90">
    <w:name w:val="ZGSM"/>
    <w:uiPriority w:val="0"/>
  </w:style>
  <w:style w:type="paragraph" w:customStyle="1" w:styleId="9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uiPriority w:val="0"/>
    <w:rPr>
      <w:color w:val="FF0000"/>
    </w:rPr>
  </w:style>
  <w:style w:type="character" w:customStyle="1" w:styleId="93">
    <w:name w:val="Editor's Note Char"/>
    <w:link w:val="92"/>
    <w:uiPriority w:val="0"/>
    <w:rPr>
      <w:rFonts w:ascii="Times New Roman" w:hAnsi="Times New Roman"/>
      <w:color w:val="FF0000"/>
      <w:lang w:val="en-GB"/>
    </w:rPr>
  </w:style>
  <w:style w:type="paragraph" w:customStyle="1" w:styleId="94">
    <w:name w:val="B1"/>
    <w:basedOn w:val="14"/>
    <w:link w:val="95"/>
    <w:qFormat/>
    <w:uiPriority w:val="0"/>
  </w:style>
  <w:style w:type="character" w:customStyle="1" w:styleId="95">
    <w:name w:val="B1 Char"/>
    <w:link w:val="94"/>
    <w:uiPriority w:val="0"/>
    <w:rPr>
      <w:rFonts w:ascii="Times New Roman" w:hAnsi="Times New Roman"/>
      <w:lang w:val="en-GB"/>
    </w:rPr>
  </w:style>
  <w:style w:type="paragraph" w:customStyle="1" w:styleId="96">
    <w:name w:val="B2"/>
    <w:basedOn w:val="13"/>
    <w:link w:val="97"/>
    <w:qFormat/>
    <w:uiPriority w:val="0"/>
  </w:style>
  <w:style w:type="character" w:customStyle="1" w:styleId="97">
    <w:name w:val="B2 Char"/>
    <w:link w:val="96"/>
    <w:uiPriority w:val="0"/>
    <w:rPr>
      <w:rFonts w:ascii="Times New Roman" w:hAnsi="Times New Roman"/>
      <w:lang w:val="en-GB"/>
    </w:rPr>
  </w:style>
  <w:style w:type="paragraph" w:customStyle="1" w:styleId="98">
    <w:name w:val="B3"/>
    <w:basedOn w:val="12"/>
    <w:link w:val="99"/>
    <w:uiPriority w:val="0"/>
  </w:style>
  <w:style w:type="character" w:customStyle="1" w:styleId="99">
    <w:name w:val="B3 Char"/>
    <w:link w:val="98"/>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uiPriority w:val="0"/>
    <w:pPr>
      <w:overflowPunct w:val="0"/>
      <w:autoSpaceDE w:val="0"/>
      <w:autoSpaceDN w:val="0"/>
      <w:adjustRightInd w:val="0"/>
      <w:textAlignment w:val="baseline"/>
    </w:pPr>
  </w:style>
  <w:style w:type="paragraph" w:customStyle="1" w:styleId="109">
    <w:name w:val="Guidance"/>
    <w:basedOn w:val="1"/>
    <w:uiPriority w:val="0"/>
    <w:pPr>
      <w:overflowPunct w:val="0"/>
      <w:autoSpaceDE w:val="0"/>
      <w:autoSpaceDN w:val="0"/>
      <w:adjustRightInd w:val="0"/>
      <w:textAlignment w:val="baseline"/>
    </w:pPr>
    <w:rPr>
      <w:i/>
      <w:color w:val="0000FF"/>
    </w:rPr>
  </w:style>
  <w:style w:type="paragraph" w:customStyle="1" w:styleId="110">
    <w:name w:val="修订1"/>
    <w:semiHidden/>
    <w:uiPriority w:val="99"/>
    <w:rPr>
      <w:rFonts w:ascii="Times New Roman" w:hAnsi="Times New Roman" w:eastAsia="Times New Roman" w:cs="Times New Roman"/>
      <w:lang w:val="en-GB" w:eastAsia="en-US" w:bidi="ar-SA"/>
    </w:rPr>
  </w:style>
  <w:style w:type="character" w:customStyle="1" w:styleId="111">
    <w:name w:val="@他1"/>
    <w:unhideWhenUsed/>
    <w:uiPriority w:val="99"/>
    <w:rPr>
      <w:color w:val="2B579A"/>
      <w:shd w:val="clear" w:color="auto" w:fill="E6E6E6"/>
    </w:rPr>
  </w:style>
  <w:style w:type="paragraph" w:customStyle="1" w:styleId="112">
    <w:name w:val="Discusson B1"/>
    <w:basedOn w:val="107"/>
    <w:uiPriority w:val="0"/>
    <w:pPr>
      <w:ind w:left="567" w:hanging="283"/>
    </w:pPr>
  </w:style>
  <w:style w:type="paragraph" w:customStyle="1" w:styleId="113">
    <w:name w:val="Discussion B2"/>
    <w:basedOn w:val="112"/>
    <w:uiPriority w:val="0"/>
    <w:pPr>
      <w:ind w:left="851"/>
    </w:pPr>
  </w:style>
  <w:style w:type="character" w:customStyle="1" w:styleId="114">
    <w:name w:val="未处理的提及1"/>
    <w:basedOn w:val="43"/>
    <w:unhideWhenUsed/>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customStyle="1" w:styleId="116">
    <w:name w:val="LSHeader"/>
    <w:qFormat/>
    <w:uiPriority w:val="0"/>
    <w:pPr>
      <w:tabs>
        <w:tab w:val="right" w:pos="9781"/>
      </w:tabs>
      <w:spacing w:before="0" w:after="0" w:line="240" w:lineRule="auto"/>
    </w:pPr>
    <w:rPr>
      <w:rFonts w:ascii="Arial" w:hAnsi="Arial" w:eastAsia="宋体" w:cs="Times New Roman"/>
      <w:b/>
      <w:sz w:val="24"/>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2023-11-02T03:23:00Z</dcterms:created>
  <dc:creator>ZTE</dc:creator>
  <cp:lastModifiedBy>ZTE</cp:lastModifiedBy>
  <dcterms:modified xsi:type="dcterms:W3CDTF">2023-11-02T10:14:44Z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